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CF9CA" w14:textId="77777777" w:rsidR="00E37E2A" w:rsidRPr="001F29D9" w:rsidRDefault="00000000" w:rsidP="00CB5AFE">
      <w:pPr>
        <w:jc w:val="center"/>
        <w:rPr>
          <w:rFonts w:ascii="Times New Roman" w:hAnsi="Times New Roman" w:cs="Times New Roman"/>
          <w:sz w:val="24"/>
          <w:szCs w:val="24"/>
        </w:rPr>
      </w:pPr>
      <w:r w:rsidRPr="001F29D9">
        <w:rPr>
          <w:rFonts w:ascii="Times New Roman" w:hAnsi="Times New Roman" w:cs="Times New Roman"/>
          <w:b/>
          <w:sz w:val="24"/>
          <w:szCs w:val="24"/>
        </w:rPr>
        <w:t>ULUSLARARASILAŞMA KOMİSYONU</w:t>
      </w:r>
    </w:p>
    <w:p w14:paraId="3B97C24E" w14:textId="77777777" w:rsidR="00E37E2A" w:rsidRPr="001F29D9" w:rsidRDefault="00000000" w:rsidP="001F29D9">
      <w:pPr>
        <w:jc w:val="both"/>
        <w:rPr>
          <w:rFonts w:ascii="Times New Roman" w:hAnsi="Times New Roman" w:cs="Times New Roman"/>
          <w:sz w:val="24"/>
          <w:szCs w:val="24"/>
        </w:rPr>
      </w:pPr>
      <w:r w:rsidRPr="001F29D9">
        <w:rPr>
          <w:rFonts w:ascii="Times New Roman" w:hAnsi="Times New Roman" w:cs="Times New Roman"/>
          <w:b/>
          <w:sz w:val="24"/>
          <w:szCs w:val="24"/>
        </w:rPr>
        <w:t>2025 YILI YILLIK DEĞERLENDİRME RAPORU</w:t>
      </w:r>
    </w:p>
    <w:p w14:paraId="4805F0FE" w14:textId="77777777" w:rsidR="00E37E2A" w:rsidRPr="001F29D9" w:rsidRDefault="00000000" w:rsidP="001F29D9">
      <w:pPr>
        <w:jc w:val="both"/>
        <w:rPr>
          <w:rFonts w:ascii="Times New Roman" w:hAnsi="Times New Roman" w:cs="Times New Roman"/>
          <w:sz w:val="24"/>
          <w:szCs w:val="24"/>
        </w:rPr>
      </w:pPr>
      <w:r w:rsidRPr="001F29D9">
        <w:rPr>
          <w:rFonts w:ascii="Times New Roman" w:hAnsi="Times New Roman" w:cs="Times New Roman"/>
          <w:sz w:val="24"/>
          <w:szCs w:val="24"/>
        </w:rPr>
        <w:t>Bu rapor, Uluslararasılaşma Komisyonu’nun 2025 yılı boyunca yürüttüğü çalışmaların yıl sonu değerlendirmesini içermektedir.</w:t>
      </w:r>
    </w:p>
    <w:p w14:paraId="26FB2521" w14:textId="77777777" w:rsidR="00E37E2A" w:rsidRPr="001F29D9" w:rsidRDefault="00000000" w:rsidP="001F29D9">
      <w:pPr>
        <w:jc w:val="both"/>
        <w:rPr>
          <w:rFonts w:ascii="Times New Roman" w:hAnsi="Times New Roman" w:cs="Times New Roman"/>
          <w:sz w:val="24"/>
          <w:szCs w:val="24"/>
        </w:rPr>
      </w:pPr>
      <w:r w:rsidRPr="001F29D9">
        <w:rPr>
          <w:rFonts w:ascii="Times New Roman" w:hAnsi="Times New Roman" w:cs="Times New Roman"/>
          <w:b/>
          <w:sz w:val="24"/>
          <w:szCs w:val="24"/>
        </w:rPr>
        <w:t>1. Komisyonun Misyon ve Vizyonu</w:t>
      </w:r>
    </w:p>
    <w:p w14:paraId="0BCC2933" w14:textId="77777777" w:rsidR="00E37E2A" w:rsidRPr="001F29D9" w:rsidRDefault="00000000" w:rsidP="001F29D9">
      <w:pPr>
        <w:jc w:val="both"/>
        <w:rPr>
          <w:rFonts w:ascii="Times New Roman" w:hAnsi="Times New Roman" w:cs="Times New Roman"/>
          <w:sz w:val="24"/>
          <w:szCs w:val="24"/>
        </w:rPr>
      </w:pPr>
      <w:r w:rsidRPr="001F29D9">
        <w:rPr>
          <w:rFonts w:ascii="Times New Roman" w:hAnsi="Times New Roman" w:cs="Times New Roman"/>
          <w:b/>
          <w:sz w:val="24"/>
          <w:szCs w:val="24"/>
        </w:rPr>
        <w:t xml:space="preserve">Misyon: </w:t>
      </w:r>
      <w:r w:rsidRPr="001F29D9">
        <w:rPr>
          <w:rFonts w:ascii="Times New Roman" w:hAnsi="Times New Roman" w:cs="Times New Roman"/>
          <w:sz w:val="24"/>
          <w:szCs w:val="24"/>
        </w:rPr>
        <w:t>Sağlık Hizmetleri Meslek Yüksekokulu’nun uluslararasılaşma politikası doğrultusunda; akademik yeterliklerin yanında sosyal ve kültürlerarası beceriler ile çok dilliliği destekleyerek mezunların rekabet avantajını güçlendirmek, uluslararası rekabet gücüne ve yüksek kültürlerarası yetkinliklere sahip bireyler yetiştirme hedefini somut faaliyetlere dönüştürmek; uluslararası öğrenci ve akademik hareketlilik, iş birlikleri ve uluslararası faaliyetleri planlamak–yürütmek ve performans göstergeleriyle izleyip değerlendirmektir.</w:t>
      </w:r>
    </w:p>
    <w:p w14:paraId="32554492" w14:textId="77777777" w:rsidR="00E37E2A" w:rsidRPr="001F29D9" w:rsidRDefault="00000000" w:rsidP="001F29D9">
      <w:pPr>
        <w:jc w:val="both"/>
        <w:rPr>
          <w:rFonts w:ascii="Times New Roman" w:hAnsi="Times New Roman" w:cs="Times New Roman"/>
          <w:sz w:val="24"/>
          <w:szCs w:val="24"/>
        </w:rPr>
      </w:pPr>
      <w:r w:rsidRPr="001F29D9">
        <w:rPr>
          <w:rFonts w:ascii="Times New Roman" w:hAnsi="Times New Roman" w:cs="Times New Roman"/>
          <w:b/>
          <w:sz w:val="24"/>
          <w:szCs w:val="24"/>
        </w:rPr>
        <w:t xml:space="preserve">Vizyon: </w:t>
      </w:r>
      <w:r w:rsidRPr="001F29D9">
        <w:rPr>
          <w:rFonts w:ascii="Times New Roman" w:hAnsi="Times New Roman" w:cs="Times New Roman"/>
          <w:sz w:val="24"/>
          <w:szCs w:val="24"/>
        </w:rPr>
        <w:t>Uluslararası iş birliklerini sürdürülebilir biçimde güçlendiren ve genişleten; özellikle “iş birliği yapılan üniversite sayısını artırma” hedefi doğrultusunda kurumun uluslararası görünürlüğünü, etki alanını ve rekabet gücünü yükselten; kültürlerarası yetkinlik ve çok dillilik ekseninde uluslararasılaşmayı sistematik ve ölçülebilir şekilde yöneten öncü bir komisyon yapısı oluşturmaktır.</w:t>
      </w:r>
    </w:p>
    <w:p w14:paraId="0C3473FA" w14:textId="77777777" w:rsidR="00E37E2A" w:rsidRPr="001F29D9" w:rsidRDefault="00000000" w:rsidP="001F29D9">
      <w:pPr>
        <w:jc w:val="both"/>
        <w:rPr>
          <w:rFonts w:ascii="Times New Roman" w:hAnsi="Times New Roman" w:cs="Times New Roman"/>
          <w:sz w:val="24"/>
          <w:szCs w:val="24"/>
        </w:rPr>
      </w:pPr>
      <w:r w:rsidRPr="001F29D9">
        <w:rPr>
          <w:rFonts w:ascii="Times New Roman" w:hAnsi="Times New Roman" w:cs="Times New Roman"/>
          <w:b/>
          <w:sz w:val="24"/>
          <w:szCs w:val="24"/>
        </w:rPr>
        <w:t>2. Geçtiğimiz Yıldaki Hedefler ve Gerçekleşme Oranları</w:t>
      </w:r>
    </w:p>
    <w:p w14:paraId="5351F69D" w14:textId="77777777" w:rsidR="00E37E2A" w:rsidRPr="001F29D9" w:rsidRDefault="00000000" w:rsidP="001F29D9">
      <w:pPr>
        <w:jc w:val="both"/>
        <w:rPr>
          <w:rFonts w:ascii="Times New Roman" w:hAnsi="Times New Roman" w:cs="Times New Roman"/>
          <w:sz w:val="24"/>
          <w:szCs w:val="24"/>
        </w:rPr>
      </w:pPr>
      <w:r w:rsidRPr="001F29D9">
        <w:rPr>
          <w:rFonts w:ascii="Times New Roman" w:hAnsi="Times New Roman" w:cs="Times New Roman"/>
          <w:sz w:val="24"/>
          <w:szCs w:val="24"/>
        </w:rPr>
        <w:t>Aşağıdaki tabloda 2025 yılı hedefleri, gerçekleşmeler ve gerçekleşme oranı/durumu birlikte sunulmuştur.</w:t>
      </w:r>
    </w:p>
    <w:tbl>
      <w:tblPr>
        <w:tblStyle w:val="TabloKlavuzu"/>
        <w:tblW w:w="0" w:type="auto"/>
        <w:jc w:val="center"/>
        <w:tblLook w:val="04A0" w:firstRow="1" w:lastRow="0" w:firstColumn="1" w:lastColumn="0" w:noHBand="0" w:noVBand="1"/>
      </w:tblPr>
      <w:tblGrid>
        <w:gridCol w:w="821"/>
        <w:gridCol w:w="1397"/>
        <w:gridCol w:w="1409"/>
        <w:gridCol w:w="1489"/>
        <w:gridCol w:w="1842"/>
        <w:gridCol w:w="1672"/>
      </w:tblGrid>
      <w:tr w:rsidR="00E37E2A" w:rsidRPr="001F29D9" w14:paraId="1C78622F" w14:textId="77777777">
        <w:trPr>
          <w:jc w:val="center"/>
        </w:trPr>
        <w:tc>
          <w:tcPr>
            <w:tcW w:w="1440" w:type="dxa"/>
            <w:vAlign w:val="center"/>
          </w:tcPr>
          <w:p w14:paraId="0A6ED91A" w14:textId="77777777" w:rsidR="00E37E2A" w:rsidRPr="001F29D9" w:rsidRDefault="00000000" w:rsidP="001F29D9">
            <w:pPr>
              <w:jc w:val="both"/>
              <w:rPr>
                <w:rFonts w:ascii="Times New Roman" w:hAnsi="Times New Roman" w:cs="Times New Roman"/>
                <w:sz w:val="24"/>
                <w:szCs w:val="24"/>
              </w:rPr>
            </w:pPr>
            <w:r w:rsidRPr="001F29D9">
              <w:rPr>
                <w:rFonts w:ascii="Times New Roman" w:hAnsi="Times New Roman" w:cs="Times New Roman"/>
                <w:b/>
                <w:sz w:val="24"/>
                <w:szCs w:val="24"/>
              </w:rPr>
              <w:t>Hedef No</w:t>
            </w:r>
          </w:p>
        </w:tc>
        <w:tc>
          <w:tcPr>
            <w:tcW w:w="1440" w:type="dxa"/>
            <w:vAlign w:val="center"/>
          </w:tcPr>
          <w:p w14:paraId="598B7BC8" w14:textId="77777777" w:rsidR="00E37E2A" w:rsidRPr="001F29D9" w:rsidRDefault="00000000" w:rsidP="001F29D9">
            <w:pPr>
              <w:jc w:val="both"/>
              <w:rPr>
                <w:rFonts w:ascii="Times New Roman" w:hAnsi="Times New Roman" w:cs="Times New Roman"/>
                <w:sz w:val="24"/>
                <w:szCs w:val="24"/>
              </w:rPr>
            </w:pPr>
            <w:r w:rsidRPr="001F29D9">
              <w:rPr>
                <w:rFonts w:ascii="Times New Roman" w:hAnsi="Times New Roman" w:cs="Times New Roman"/>
                <w:b/>
                <w:sz w:val="24"/>
                <w:szCs w:val="24"/>
              </w:rPr>
              <w:t>Hedef Adı</w:t>
            </w:r>
          </w:p>
        </w:tc>
        <w:tc>
          <w:tcPr>
            <w:tcW w:w="1440" w:type="dxa"/>
            <w:vAlign w:val="center"/>
          </w:tcPr>
          <w:p w14:paraId="5718907B" w14:textId="77777777" w:rsidR="00E37E2A" w:rsidRPr="001F29D9" w:rsidRDefault="00000000" w:rsidP="001F29D9">
            <w:pPr>
              <w:jc w:val="both"/>
              <w:rPr>
                <w:rFonts w:ascii="Times New Roman" w:hAnsi="Times New Roman" w:cs="Times New Roman"/>
                <w:sz w:val="24"/>
                <w:szCs w:val="24"/>
              </w:rPr>
            </w:pPr>
            <w:r w:rsidRPr="001F29D9">
              <w:rPr>
                <w:rFonts w:ascii="Times New Roman" w:hAnsi="Times New Roman" w:cs="Times New Roman"/>
                <w:b/>
                <w:sz w:val="24"/>
                <w:szCs w:val="24"/>
              </w:rPr>
              <w:t>Performans Göstergesi (PG)</w:t>
            </w:r>
          </w:p>
        </w:tc>
        <w:tc>
          <w:tcPr>
            <w:tcW w:w="1440" w:type="dxa"/>
            <w:vAlign w:val="center"/>
          </w:tcPr>
          <w:p w14:paraId="646B9CF1" w14:textId="77777777" w:rsidR="00E37E2A" w:rsidRPr="001F29D9" w:rsidRDefault="00000000" w:rsidP="001F29D9">
            <w:pPr>
              <w:jc w:val="both"/>
              <w:rPr>
                <w:rFonts w:ascii="Times New Roman" w:hAnsi="Times New Roman" w:cs="Times New Roman"/>
                <w:sz w:val="24"/>
                <w:szCs w:val="24"/>
              </w:rPr>
            </w:pPr>
            <w:r w:rsidRPr="001F29D9">
              <w:rPr>
                <w:rFonts w:ascii="Times New Roman" w:hAnsi="Times New Roman" w:cs="Times New Roman"/>
                <w:b/>
                <w:sz w:val="24"/>
                <w:szCs w:val="24"/>
              </w:rPr>
              <w:t>2025 Hedef Değeri</w:t>
            </w:r>
          </w:p>
        </w:tc>
        <w:tc>
          <w:tcPr>
            <w:tcW w:w="1440" w:type="dxa"/>
            <w:vAlign w:val="center"/>
          </w:tcPr>
          <w:p w14:paraId="0F70B6B9" w14:textId="77777777" w:rsidR="00E37E2A" w:rsidRPr="001F29D9" w:rsidRDefault="00000000" w:rsidP="001F29D9">
            <w:pPr>
              <w:jc w:val="both"/>
              <w:rPr>
                <w:rFonts w:ascii="Times New Roman" w:hAnsi="Times New Roman" w:cs="Times New Roman"/>
                <w:sz w:val="24"/>
                <w:szCs w:val="24"/>
              </w:rPr>
            </w:pPr>
            <w:r w:rsidRPr="001F29D9">
              <w:rPr>
                <w:rFonts w:ascii="Times New Roman" w:hAnsi="Times New Roman" w:cs="Times New Roman"/>
                <w:b/>
                <w:sz w:val="24"/>
                <w:szCs w:val="24"/>
              </w:rPr>
              <w:t>2025 Gerçekleşme</w:t>
            </w:r>
          </w:p>
        </w:tc>
        <w:tc>
          <w:tcPr>
            <w:tcW w:w="1440" w:type="dxa"/>
            <w:vAlign w:val="center"/>
          </w:tcPr>
          <w:p w14:paraId="721EA3A2" w14:textId="77777777" w:rsidR="00E37E2A" w:rsidRPr="001F29D9" w:rsidRDefault="00000000" w:rsidP="001F29D9">
            <w:pPr>
              <w:jc w:val="both"/>
              <w:rPr>
                <w:rFonts w:ascii="Times New Roman" w:hAnsi="Times New Roman" w:cs="Times New Roman"/>
                <w:sz w:val="24"/>
                <w:szCs w:val="24"/>
              </w:rPr>
            </w:pPr>
            <w:r w:rsidRPr="001F29D9">
              <w:rPr>
                <w:rFonts w:ascii="Times New Roman" w:hAnsi="Times New Roman" w:cs="Times New Roman"/>
                <w:b/>
                <w:sz w:val="24"/>
                <w:szCs w:val="24"/>
              </w:rPr>
              <w:t>Gerçekleşme Oranı / Durumu</w:t>
            </w:r>
          </w:p>
        </w:tc>
      </w:tr>
      <w:tr w:rsidR="00E37E2A" w:rsidRPr="001F29D9" w14:paraId="0C064F51" w14:textId="77777777">
        <w:trPr>
          <w:jc w:val="center"/>
        </w:trPr>
        <w:tc>
          <w:tcPr>
            <w:tcW w:w="1440" w:type="dxa"/>
            <w:vAlign w:val="center"/>
          </w:tcPr>
          <w:p w14:paraId="515B60F1" w14:textId="77777777" w:rsidR="00E37E2A" w:rsidRPr="001F29D9" w:rsidRDefault="00000000" w:rsidP="001F29D9">
            <w:pPr>
              <w:jc w:val="both"/>
              <w:rPr>
                <w:rFonts w:ascii="Times New Roman" w:hAnsi="Times New Roman" w:cs="Times New Roman"/>
                <w:sz w:val="24"/>
                <w:szCs w:val="24"/>
              </w:rPr>
            </w:pPr>
            <w:r w:rsidRPr="001F29D9">
              <w:rPr>
                <w:rFonts w:ascii="Times New Roman" w:hAnsi="Times New Roman" w:cs="Times New Roman"/>
                <w:sz w:val="24"/>
                <w:szCs w:val="24"/>
              </w:rPr>
              <w:t>2.2</w:t>
            </w:r>
          </w:p>
        </w:tc>
        <w:tc>
          <w:tcPr>
            <w:tcW w:w="1440" w:type="dxa"/>
            <w:vAlign w:val="center"/>
          </w:tcPr>
          <w:p w14:paraId="39A2DC69" w14:textId="77777777" w:rsidR="00E37E2A" w:rsidRPr="001F29D9" w:rsidRDefault="00000000" w:rsidP="008E1E38">
            <w:pPr>
              <w:rPr>
                <w:rFonts w:ascii="Times New Roman" w:hAnsi="Times New Roman" w:cs="Times New Roman"/>
                <w:sz w:val="24"/>
                <w:szCs w:val="24"/>
              </w:rPr>
            </w:pPr>
            <w:r w:rsidRPr="001F29D9">
              <w:rPr>
                <w:rFonts w:ascii="Times New Roman" w:hAnsi="Times New Roman" w:cs="Times New Roman"/>
                <w:sz w:val="24"/>
                <w:szCs w:val="24"/>
              </w:rPr>
              <w:t>Öğretim elemanı değişim programı ile gelen ya da giden öğretim elemanı sayısını arttırmak</w:t>
            </w:r>
          </w:p>
        </w:tc>
        <w:tc>
          <w:tcPr>
            <w:tcW w:w="1440" w:type="dxa"/>
            <w:vAlign w:val="center"/>
          </w:tcPr>
          <w:p w14:paraId="37EE8056" w14:textId="77777777" w:rsidR="00E37E2A" w:rsidRPr="001F29D9" w:rsidRDefault="00000000" w:rsidP="008E1E38">
            <w:pPr>
              <w:rPr>
                <w:rFonts w:ascii="Times New Roman" w:hAnsi="Times New Roman" w:cs="Times New Roman"/>
                <w:sz w:val="24"/>
                <w:szCs w:val="24"/>
              </w:rPr>
            </w:pPr>
            <w:r w:rsidRPr="001F29D9">
              <w:rPr>
                <w:rFonts w:ascii="Times New Roman" w:hAnsi="Times New Roman" w:cs="Times New Roman"/>
                <w:sz w:val="24"/>
                <w:szCs w:val="24"/>
              </w:rPr>
              <w:t>PG 2.2.2 – Giden öğretim elemanı sayısının arttırılması</w:t>
            </w:r>
          </w:p>
        </w:tc>
        <w:tc>
          <w:tcPr>
            <w:tcW w:w="1440" w:type="dxa"/>
            <w:vAlign w:val="center"/>
          </w:tcPr>
          <w:p w14:paraId="53BE3510" w14:textId="77777777" w:rsidR="00E37E2A" w:rsidRPr="001F29D9" w:rsidRDefault="00000000" w:rsidP="008E1E38">
            <w:pPr>
              <w:rPr>
                <w:rFonts w:ascii="Times New Roman" w:hAnsi="Times New Roman" w:cs="Times New Roman"/>
                <w:sz w:val="24"/>
                <w:szCs w:val="24"/>
              </w:rPr>
            </w:pPr>
            <w:r w:rsidRPr="001F29D9">
              <w:rPr>
                <w:rFonts w:ascii="Times New Roman" w:hAnsi="Times New Roman" w:cs="Times New Roman"/>
                <w:sz w:val="24"/>
                <w:szCs w:val="24"/>
              </w:rPr>
              <w:t>Artış sağlanması; COST Bilgi Günü bilgilendirme toplantısı</w:t>
            </w:r>
          </w:p>
        </w:tc>
        <w:tc>
          <w:tcPr>
            <w:tcW w:w="1440" w:type="dxa"/>
            <w:vAlign w:val="center"/>
          </w:tcPr>
          <w:p w14:paraId="43068E24" w14:textId="77777777" w:rsidR="00E37E2A" w:rsidRPr="001F29D9" w:rsidRDefault="00000000" w:rsidP="008E1E38">
            <w:pPr>
              <w:rPr>
                <w:rFonts w:ascii="Times New Roman" w:hAnsi="Times New Roman" w:cs="Times New Roman"/>
                <w:sz w:val="24"/>
                <w:szCs w:val="24"/>
              </w:rPr>
            </w:pPr>
            <w:r w:rsidRPr="001F29D9">
              <w:rPr>
                <w:rFonts w:ascii="Times New Roman" w:hAnsi="Times New Roman" w:cs="Times New Roman"/>
                <w:sz w:val="24"/>
                <w:szCs w:val="24"/>
              </w:rPr>
              <w:t>COST çevrimiçi Bilgi Günü toplantısına SHMYO akademik personeli katılım sağladı</w:t>
            </w:r>
          </w:p>
        </w:tc>
        <w:tc>
          <w:tcPr>
            <w:tcW w:w="1440" w:type="dxa"/>
            <w:vAlign w:val="center"/>
          </w:tcPr>
          <w:p w14:paraId="6D87C10F" w14:textId="77777777" w:rsidR="00E37E2A" w:rsidRPr="001F29D9" w:rsidRDefault="00000000" w:rsidP="008E1E38">
            <w:pPr>
              <w:rPr>
                <w:rFonts w:ascii="Times New Roman" w:hAnsi="Times New Roman" w:cs="Times New Roman"/>
                <w:sz w:val="24"/>
                <w:szCs w:val="24"/>
              </w:rPr>
            </w:pPr>
            <w:r w:rsidRPr="001F29D9">
              <w:rPr>
                <w:rFonts w:ascii="Times New Roman" w:hAnsi="Times New Roman" w:cs="Times New Roman"/>
                <w:sz w:val="24"/>
                <w:szCs w:val="24"/>
              </w:rPr>
              <w:t>Kısmi – (nitel değerlendirme) %50</w:t>
            </w:r>
          </w:p>
        </w:tc>
      </w:tr>
      <w:tr w:rsidR="00E37E2A" w:rsidRPr="001F29D9" w14:paraId="29BEB3D2" w14:textId="77777777">
        <w:trPr>
          <w:jc w:val="center"/>
        </w:trPr>
        <w:tc>
          <w:tcPr>
            <w:tcW w:w="1440" w:type="dxa"/>
            <w:vAlign w:val="center"/>
          </w:tcPr>
          <w:p w14:paraId="691D9B6F" w14:textId="77777777" w:rsidR="00E37E2A" w:rsidRPr="001F29D9" w:rsidRDefault="00000000" w:rsidP="001F29D9">
            <w:pPr>
              <w:jc w:val="both"/>
              <w:rPr>
                <w:rFonts w:ascii="Times New Roman" w:hAnsi="Times New Roman" w:cs="Times New Roman"/>
                <w:sz w:val="24"/>
                <w:szCs w:val="24"/>
              </w:rPr>
            </w:pPr>
            <w:r w:rsidRPr="001F29D9">
              <w:rPr>
                <w:rFonts w:ascii="Times New Roman" w:hAnsi="Times New Roman" w:cs="Times New Roman"/>
                <w:sz w:val="24"/>
                <w:szCs w:val="24"/>
              </w:rPr>
              <w:t>2.3</w:t>
            </w:r>
          </w:p>
        </w:tc>
        <w:tc>
          <w:tcPr>
            <w:tcW w:w="1440" w:type="dxa"/>
            <w:vAlign w:val="center"/>
          </w:tcPr>
          <w:p w14:paraId="2FE0D654" w14:textId="77777777" w:rsidR="00E37E2A" w:rsidRPr="001F29D9" w:rsidRDefault="00000000" w:rsidP="008E1E38">
            <w:pPr>
              <w:rPr>
                <w:rFonts w:ascii="Times New Roman" w:hAnsi="Times New Roman" w:cs="Times New Roman"/>
                <w:sz w:val="24"/>
                <w:szCs w:val="24"/>
              </w:rPr>
            </w:pPr>
            <w:r w:rsidRPr="001F29D9">
              <w:rPr>
                <w:rFonts w:ascii="Times New Roman" w:hAnsi="Times New Roman" w:cs="Times New Roman"/>
                <w:sz w:val="24"/>
                <w:szCs w:val="24"/>
              </w:rPr>
              <w:t xml:space="preserve">İş birliği yapılan üniversite </w:t>
            </w:r>
            <w:r w:rsidRPr="001F29D9">
              <w:rPr>
                <w:rFonts w:ascii="Times New Roman" w:hAnsi="Times New Roman" w:cs="Times New Roman"/>
                <w:sz w:val="24"/>
                <w:szCs w:val="24"/>
              </w:rPr>
              <w:lastRenderedPageBreak/>
              <w:t>sayısını artırmak</w:t>
            </w:r>
          </w:p>
        </w:tc>
        <w:tc>
          <w:tcPr>
            <w:tcW w:w="1440" w:type="dxa"/>
            <w:vAlign w:val="center"/>
          </w:tcPr>
          <w:p w14:paraId="5F8B28A9" w14:textId="77777777" w:rsidR="00E37E2A" w:rsidRPr="001F29D9" w:rsidRDefault="00000000" w:rsidP="008E1E38">
            <w:pPr>
              <w:rPr>
                <w:rFonts w:ascii="Times New Roman" w:hAnsi="Times New Roman" w:cs="Times New Roman"/>
                <w:sz w:val="24"/>
                <w:szCs w:val="24"/>
              </w:rPr>
            </w:pPr>
            <w:r w:rsidRPr="001F29D9">
              <w:rPr>
                <w:rFonts w:ascii="Times New Roman" w:hAnsi="Times New Roman" w:cs="Times New Roman"/>
                <w:sz w:val="24"/>
                <w:szCs w:val="24"/>
              </w:rPr>
              <w:lastRenderedPageBreak/>
              <w:t xml:space="preserve">PG 2.3.1 – İş birliği yapılan </w:t>
            </w:r>
            <w:r w:rsidRPr="001F29D9">
              <w:rPr>
                <w:rFonts w:ascii="Times New Roman" w:hAnsi="Times New Roman" w:cs="Times New Roman"/>
                <w:sz w:val="24"/>
                <w:szCs w:val="24"/>
              </w:rPr>
              <w:lastRenderedPageBreak/>
              <w:t>üniversite sayısı</w:t>
            </w:r>
          </w:p>
        </w:tc>
        <w:tc>
          <w:tcPr>
            <w:tcW w:w="1440" w:type="dxa"/>
            <w:vAlign w:val="center"/>
          </w:tcPr>
          <w:p w14:paraId="78A3B48E" w14:textId="77777777" w:rsidR="00E37E2A" w:rsidRPr="001F29D9" w:rsidRDefault="00000000" w:rsidP="008E1E38">
            <w:pPr>
              <w:rPr>
                <w:rFonts w:ascii="Times New Roman" w:hAnsi="Times New Roman" w:cs="Times New Roman"/>
                <w:sz w:val="24"/>
                <w:szCs w:val="24"/>
              </w:rPr>
            </w:pPr>
            <w:r w:rsidRPr="001F29D9">
              <w:rPr>
                <w:rFonts w:ascii="Times New Roman" w:hAnsi="Times New Roman" w:cs="Times New Roman"/>
                <w:sz w:val="24"/>
                <w:szCs w:val="24"/>
              </w:rPr>
              <w:lastRenderedPageBreak/>
              <w:t>1 yeni ikili anlaşma (Erasmus)</w:t>
            </w:r>
          </w:p>
        </w:tc>
        <w:tc>
          <w:tcPr>
            <w:tcW w:w="1440" w:type="dxa"/>
            <w:vAlign w:val="center"/>
          </w:tcPr>
          <w:p w14:paraId="3B52B1A2" w14:textId="77777777" w:rsidR="00E37E2A" w:rsidRPr="001F29D9" w:rsidRDefault="00000000" w:rsidP="008E1E38">
            <w:pPr>
              <w:rPr>
                <w:rFonts w:ascii="Times New Roman" w:hAnsi="Times New Roman" w:cs="Times New Roman"/>
                <w:sz w:val="24"/>
                <w:szCs w:val="24"/>
              </w:rPr>
            </w:pPr>
            <w:r w:rsidRPr="001F29D9">
              <w:rPr>
                <w:rFonts w:ascii="Times New Roman" w:hAnsi="Times New Roman" w:cs="Times New Roman"/>
                <w:sz w:val="24"/>
                <w:szCs w:val="24"/>
              </w:rPr>
              <w:t>1 yeni Erasmus ikili anlaşma yapıldı; toplam iş birliği sayısı 3</w:t>
            </w:r>
          </w:p>
        </w:tc>
        <w:tc>
          <w:tcPr>
            <w:tcW w:w="1440" w:type="dxa"/>
            <w:vAlign w:val="center"/>
          </w:tcPr>
          <w:p w14:paraId="6E756C0A" w14:textId="77777777" w:rsidR="00E37E2A" w:rsidRPr="001F29D9" w:rsidRDefault="00000000" w:rsidP="008E1E38">
            <w:pPr>
              <w:rPr>
                <w:rFonts w:ascii="Times New Roman" w:hAnsi="Times New Roman" w:cs="Times New Roman"/>
                <w:sz w:val="24"/>
                <w:szCs w:val="24"/>
              </w:rPr>
            </w:pPr>
            <w:r w:rsidRPr="001F29D9">
              <w:rPr>
                <w:rFonts w:ascii="Times New Roman" w:hAnsi="Times New Roman" w:cs="Times New Roman"/>
                <w:sz w:val="24"/>
                <w:szCs w:val="24"/>
              </w:rPr>
              <w:t>%100 – Gerçekleşti</w:t>
            </w:r>
          </w:p>
        </w:tc>
      </w:tr>
      <w:tr w:rsidR="00E37E2A" w:rsidRPr="001F29D9" w14:paraId="73FF5930" w14:textId="77777777">
        <w:trPr>
          <w:jc w:val="center"/>
        </w:trPr>
        <w:tc>
          <w:tcPr>
            <w:tcW w:w="1440" w:type="dxa"/>
            <w:vAlign w:val="center"/>
          </w:tcPr>
          <w:p w14:paraId="14054041" w14:textId="77777777" w:rsidR="00E37E2A" w:rsidRPr="001F29D9" w:rsidRDefault="00000000" w:rsidP="001F29D9">
            <w:pPr>
              <w:jc w:val="both"/>
              <w:rPr>
                <w:rFonts w:ascii="Times New Roman" w:hAnsi="Times New Roman" w:cs="Times New Roman"/>
                <w:sz w:val="24"/>
                <w:szCs w:val="24"/>
              </w:rPr>
            </w:pPr>
            <w:r w:rsidRPr="001F29D9">
              <w:rPr>
                <w:rFonts w:ascii="Times New Roman" w:hAnsi="Times New Roman" w:cs="Times New Roman"/>
                <w:sz w:val="24"/>
                <w:szCs w:val="24"/>
              </w:rPr>
              <w:t>2.4</w:t>
            </w:r>
          </w:p>
        </w:tc>
        <w:tc>
          <w:tcPr>
            <w:tcW w:w="1440" w:type="dxa"/>
            <w:vAlign w:val="center"/>
          </w:tcPr>
          <w:p w14:paraId="287EC399" w14:textId="77777777" w:rsidR="00E37E2A" w:rsidRPr="001F29D9" w:rsidRDefault="00000000" w:rsidP="008E1E38">
            <w:pPr>
              <w:rPr>
                <w:rFonts w:ascii="Times New Roman" w:hAnsi="Times New Roman" w:cs="Times New Roman"/>
                <w:sz w:val="24"/>
                <w:szCs w:val="24"/>
              </w:rPr>
            </w:pPr>
            <w:r w:rsidRPr="001F29D9">
              <w:rPr>
                <w:rFonts w:ascii="Times New Roman" w:hAnsi="Times New Roman" w:cs="Times New Roman"/>
                <w:sz w:val="24"/>
                <w:szCs w:val="24"/>
              </w:rPr>
              <w:t>Yurt dışındaki üniversiteler veya kurum ve kuruluşlar ile ortak yürütülen proje sayısının artırılması</w:t>
            </w:r>
          </w:p>
        </w:tc>
        <w:tc>
          <w:tcPr>
            <w:tcW w:w="1440" w:type="dxa"/>
            <w:vAlign w:val="center"/>
          </w:tcPr>
          <w:p w14:paraId="22229116" w14:textId="77777777" w:rsidR="00E37E2A" w:rsidRPr="001F29D9" w:rsidRDefault="00000000" w:rsidP="008E1E38">
            <w:pPr>
              <w:rPr>
                <w:rFonts w:ascii="Times New Roman" w:hAnsi="Times New Roman" w:cs="Times New Roman"/>
                <w:sz w:val="24"/>
                <w:szCs w:val="24"/>
              </w:rPr>
            </w:pPr>
            <w:r w:rsidRPr="001F29D9">
              <w:rPr>
                <w:rFonts w:ascii="Times New Roman" w:hAnsi="Times New Roman" w:cs="Times New Roman"/>
                <w:sz w:val="24"/>
                <w:szCs w:val="24"/>
              </w:rPr>
              <w:t>PG 2.4.1 – Yurt dışı ortaklı proje sayısı</w:t>
            </w:r>
          </w:p>
        </w:tc>
        <w:tc>
          <w:tcPr>
            <w:tcW w:w="1440" w:type="dxa"/>
            <w:vAlign w:val="center"/>
          </w:tcPr>
          <w:p w14:paraId="2324BDEE" w14:textId="77777777" w:rsidR="00E37E2A" w:rsidRPr="001F29D9" w:rsidRDefault="00000000" w:rsidP="008E1E38">
            <w:pPr>
              <w:rPr>
                <w:rFonts w:ascii="Times New Roman" w:hAnsi="Times New Roman" w:cs="Times New Roman"/>
                <w:sz w:val="24"/>
                <w:szCs w:val="24"/>
              </w:rPr>
            </w:pPr>
            <w:r w:rsidRPr="001F29D9">
              <w:rPr>
                <w:rFonts w:ascii="Times New Roman" w:hAnsi="Times New Roman" w:cs="Times New Roman"/>
                <w:sz w:val="24"/>
                <w:szCs w:val="24"/>
              </w:rPr>
              <w:t>Hedef değer raporda sayısal olarak belirtilmemiş (hedef kartında)</w:t>
            </w:r>
          </w:p>
        </w:tc>
        <w:tc>
          <w:tcPr>
            <w:tcW w:w="1440" w:type="dxa"/>
            <w:vAlign w:val="center"/>
          </w:tcPr>
          <w:p w14:paraId="53970B22" w14:textId="77777777" w:rsidR="00E37E2A" w:rsidRPr="001F29D9" w:rsidRDefault="00000000" w:rsidP="008E1E38">
            <w:pPr>
              <w:rPr>
                <w:rFonts w:ascii="Times New Roman" w:hAnsi="Times New Roman" w:cs="Times New Roman"/>
                <w:sz w:val="24"/>
                <w:szCs w:val="24"/>
              </w:rPr>
            </w:pPr>
            <w:r w:rsidRPr="001F29D9">
              <w:rPr>
                <w:rFonts w:ascii="Times New Roman" w:hAnsi="Times New Roman" w:cs="Times New Roman"/>
                <w:sz w:val="24"/>
                <w:szCs w:val="24"/>
              </w:rPr>
              <w:t>0 (mevcut durum itibarıyla gerçekleşme sağlanamamıştır)</w:t>
            </w:r>
          </w:p>
        </w:tc>
        <w:tc>
          <w:tcPr>
            <w:tcW w:w="1440" w:type="dxa"/>
            <w:vAlign w:val="center"/>
          </w:tcPr>
          <w:p w14:paraId="6492EF9D" w14:textId="77777777" w:rsidR="00E37E2A" w:rsidRPr="001F29D9" w:rsidRDefault="00000000" w:rsidP="008E1E38">
            <w:pPr>
              <w:rPr>
                <w:rFonts w:ascii="Times New Roman" w:hAnsi="Times New Roman" w:cs="Times New Roman"/>
                <w:sz w:val="24"/>
                <w:szCs w:val="24"/>
              </w:rPr>
            </w:pPr>
            <w:r w:rsidRPr="001F29D9">
              <w:rPr>
                <w:rFonts w:ascii="Times New Roman" w:hAnsi="Times New Roman" w:cs="Times New Roman"/>
                <w:sz w:val="24"/>
                <w:szCs w:val="24"/>
              </w:rPr>
              <w:t>%0 – Gerçekleşmedi</w:t>
            </w:r>
          </w:p>
        </w:tc>
      </w:tr>
      <w:tr w:rsidR="00E37E2A" w:rsidRPr="001F29D9" w14:paraId="79F892E3" w14:textId="77777777">
        <w:trPr>
          <w:jc w:val="center"/>
        </w:trPr>
        <w:tc>
          <w:tcPr>
            <w:tcW w:w="1440" w:type="dxa"/>
            <w:vAlign w:val="center"/>
          </w:tcPr>
          <w:p w14:paraId="260D69A5" w14:textId="77777777" w:rsidR="00E37E2A" w:rsidRPr="001F29D9" w:rsidRDefault="00000000" w:rsidP="001F29D9">
            <w:pPr>
              <w:jc w:val="both"/>
              <w:rPr>
                <w:rFonts w:ascii="Times New Roman" w:hAnsi="Times New Roman" w:cs="Times New Roman"/>
                <w:sz w:val="24"/>
                <w:szCs w:val="24"/>
              </w:rPr>
            </w:pPr>
            <w:r w:rsidRPr="001F29D9">
              <w:rPr>
                <w:rFonts w:ascii="Times New Roman" w:hAnsi="Times New Roman" w:cs="Times New Roman"/>
                <w:sz w:val="24"/>
                <w:szCs w:val="24"/>
              </w:rPr>
              <w:t>2.5</w:t>
            </w:r>
          </w:p>
        </w:tc>
        <w:tc>
          <w:tcPr>
            <w:tcW w:w="1440" w:type="dxa"/>
            <w:vAlign w:val="center"/>
          </w:tcPr>
          <w:p w14:paraId="6B9AA54C" w14:textId="77777777" w:rsidR="00E37E2A" w:rsidRPr="001F29D9" w:rsidRDefault="00000000" w:rsidP="008E1E38">
            <w:pPr>
              <w:rPr>
                <w:rFonts w:ascii="Times New Roman" w:hAnsi="Times New Roman" w:cs="Times New Roman"/>
                <w:sz w:val="24"/>
                <w:szCs w:val="24"/>
              </w:rPr>
            </w:pPr>
            <w:r w:rsidRPr="001F29D9">
              <w:rPr>
                <w:rFonts w:ascii="Times New Roman" w:hAnsi="Times New Roman" w:cs="Times New Roman"/>
                <w:sz w:val="24"/>
                <w:szCs w:val="24"/>
              </w:rPr>
              <w:t>Yabancı uyruklu öğrenci sayısı</w:t>
            </w:r>
          </w:p>
        </w:tc>
        <w:tc>
          <w:tcPr>
            <w:tcW w:w="1440" w:type="dxa"/>
            <w:vAlign w:val="center"/>
          </w:tcPr>
          <w:p w14:paraId="26C443F4" w14:textId="77777777" w:rsidR="00E37E2A" w:rsidRPr="001F29D9" w:rsidRDefault="00000000" w:rsidP="008E1E38">
            <w:pPr>
              <w:rPr>
                <w:rFonts w:ascii="Times New Roman" w:hAnsi="Times New Roman" w:cs="Times New Roman"/>
                <w:sz w:val="24"/>
                <w:szCs w:val="24"/>
              </w:rPr>
            </w:pPr>
            <w:r w:rsidRPr="001F29D9">
              <w:rPr>
                <w:rFonts w:ascii="Times New Roman" w:hAnsi="Times New Roman" w:cs="Times New Roman"/>
                <w:sz w:val="24"/>
                <w:szCs w:val="24"/>
              </w:rPr>
              <w:t>PG 2.5.1 – Yabancı uyruklu öğrenci sayısı</w:t>
            </w:r>
          </w:p>
        </w:tc>
        <w:tc>
          <w:tcPr>
            <w:tcW w:w="1440" w:type="dxa"/>
            <w:vAlign w:val="center"/>
          </w:tcPr>
          <w:p w14:paraId="526FBE7B" w14:textId="77777777" w:rsidR="00E37E2A" w:rsidRPr="001F29D9" w:rsidRDefault="00000000" w:rsidP="008E1E38">
            <w:pPr>
              <w:rPr>
                <w:rFonts w:ascii="Times New Roman" w:hAnsi="Times New Roman" w:cs="Times New Roman"/>
                <w:sz w:val="24"/>
                <w:szCs w:val="24"/>
              </w:rPr>
            </w:pPr>
            <w:r w:rsidRPr="001F29D9">
              <w:rPr>
                <w:rFonts w:ascii="Times New Roman" w:hAnsi="Times New Roman" w:cs="Times New Roman"/>
                <w:sz w:val="24"/>
                <w:szCs w:val="24"/>
              </w:rPr>
              <w:t>Hedef değer raporda belirtilmemiş</w:t>
            </w:r>
          </w:p>
        </w:tc>
        <w:tc>
          <w:tcPr>
            <w:tcW w:w="1440" w:type="dxa"/>
            <w:vAlign w:val="center"/>
          </w:tcPr>
          <w:p w14:paraId="23EB6288" w14:textId="77777777" w:rsidR="00E37E2A" w:rsidRPr="001F29D9" w:rsidRDefault="00000000" w:rsidP="008E1E38">
            <w:pPr>
              <w:rPr>
                <w:rFonts w:ascii="Times New Roman" w:hAnsi="Times New Roman" w:cs="Times New Roman"/>
                <w:sz w:val="24"/>
                <w:szCs w:val="24"/>
              </w:rPr>
            </w:pPr>
            <w:r w:rsidRPr="001F29D9">
              <w:rPr>
                <w:rFonts w:ascii="Times New Roman" w:hAnsi="Times New Roman" w:cs="Times New Roman"/>
                <w:sz w:val="24"/>
                <w:szCs w:val="24"/>
              </w:rPr>
              <w:t>2025–2026 akademik yılı: toplam 3 yabancı uyruklu öğrenci</w:t>
            </w:r>
          </w:p>
        </w:tc>
        <w:tc>
          <w:tcPr>
            <w:tcW w:w="1440" w:type="dxa"/>
            <w:vAlign w:val="center"/>
          </w:tcPr>
          <w:p w14:paraId="182FB9D3" w14:textId="77777777" w:rsidR="00E37E2A" w:rsidRPr="001F29D9" w:rsidRDefault="00000000" w:rsidP="008E1E38">
            <w:pPr>
              <w:rPr>
                <w:rFonts w:ascii="Times New Roman" w:hAnsi="Times New Roman" w:cs="Times New Roman"/>
                <w:sz w:val="24"/>
                <w:szCs w:val="24"/>
              </w:rPr>
            </w:pPr>
            <w:r w:rsidRPr="001F29D9">
              <w:rPr>
                <w:rFonts w:ascii="Times New Roman" w:hAnsi="Times New Roman" w:cs="Times New Roman"/>
                <w:sz w:val="24"/>
                <w:szCs w:val="24"/>
              </w:rPr>
              <w:t>Hesaplanamadı (hedef değeri yok) – Veri raporlandı</w:t>
            </w:r>
          </w:p>
        </w:tc>
      </w:tr>
    </w:tbl>
    <w:p w14:paraId="50281A5B" w14:textId="77777777" w:rsidR="00E37E2A" w:rsidRPr="001F29D9" w:rsidRDefault="00E37E2A" w:rsidP="001F29D9">
      <w:pPr>
        <w:jc w:val="both"/>
        <w:rPr>
          <w:rFonts w:ascii="Times New Roman" w:hAnsi="Times New Roman" w:cs="Times New Roman"/>
          <w:sz w:val="24"/>
          <w:szCs w:val="24"/>
        </w:rPr>
      </w:pPr>
    </w:p>
    <w:p w14:paraId="2D87F3B2" w14:textId="77777777" w:rsidR="00E37E2A" w:rsidRPr="001F29D9" w:rsidRDefault="00000000" w:rsidP="001F29D9">
      <w:pPr>
        <w:jc w:val="both"/>
        <w:rPr>
          <w:rFonts w:ascii="Times New Roman" w:hAnsi="Times New Roman" w:cs="Times New Roman"/>
          <w:sz w:val="24"/>
          <w:szCs w:val="24"/>
        </w:rPr>
      </w:pPr>
      <w:r w:rsidRPr="001F29D9">
        <w:rPr>
          <w:rFonts w:ascii="Times New Roman" w:hAnsi="Times New Roman" w:cs="Times New Roman"/>
          <w:b/>
          <w:sz w:val="24"/>
          <w:szCs w:val="24"/>
        </w:rPr>
        <w:t>Tablonun Yorumu (Uygulama örnekleri ile)</w:t>
      </w:r>
    </w:p>
    <w:p w14:paraId="539CB6F3" w14:textId="77777777" w:rsidR="00E37E2A" w:rsidRPr="001F29D9" w:rsidRDefault="00000000" w:rsidP="001F29D9">
      <w:pPr>
        <w:jc w:val="both"/>
        <w:rPr>
          <w:rFonts w:ascii="Times New Roman" w:hAnsi="Times New Roman" w:cs="Times New Roman"/>
          <w:sz w:val="24"/>
          <w:szCs w:val="24"/>
        </w:rPr>
      </w:pPr>
      <w:r w:rsidRPr="001F29D9">
        <w:rPr>
          <w:rFonts w:ascii="Times New Roman" w:hAnsi="Times New Roman" w:cs="Times New Roman"/>
          <w:sz w:val="24"/>
          <w:szCs w:val="24"/>
        </w:rPr>
        <w:t>2025 yılında Hedef 2.3 kapsamında Erasmus çerçevesinde 1 yeni ikili anlaşma yapılmış ve iş birliği yapılan üniversite sayısı toplam 3’e ulaşmıştır. İş birliği kapsamı öğrenci öğrenim/staj hareketliliği ile akademik personelin ders alma–verme faaliyetlerini destekleyecek şekilde planlanmıştır. Sürdürülebilirlik için yılda iki kez koordinasyon toplantısı yapılması, staj kabul eden kurumlarla iletişimin artırılması ve yeni kurumlarla iş birliği geliştirmek üzere periyodik yazışmaların sürdürülmesi eylem planı olarak belirlenmiştir. Ayrıca Malta’daki Institute of Community Services (MCAST) ile yeni bir anlaşma için iletişim başlatılmış ve süreç devam etmektedir.</w:t>
      </w:r>
      <w:r w:rsidRPr="001F29D9">
        <w:rPr>
          <w:rFonts w:ascii="Times New Roman" w:hAnsi="Times New Roman" w:cs="Times New Roman"/>
          <w:sz w:val="24"/>
          <w:szCs w:val="24"/>
        </w:rPr>
        <w:br/>
      </w:r>
      <w:r w:rsidRPr="001F29D9">
        <w:rPr>
          <w:rFonts w:ascii="Times New Roman" w:hAnsi="Times New Roman" w:cs="Times New Roman"/>
          <w:sz w:val="24"/>
          <w:szCs w:val="24"/>
        </w:rPr>
        <w:br/>
        <w:t>Hedef 2.2 kapsamında COST Çevrimiçi Bilgi Günü toplantısına akademik personel katılım sağlamış; COST aksiyonlarının işleyişi ve katılım yollarına ilişkin farkındalık artırılmıştır.</w:t>
      </w:r>
      <w:r w:rsidRPr="001F29D9">
        <w:rPr>
          <w:rFonts w:ascii="Times New Roman" w:hAnsi="Times New Roman" w:cs="Times New Roman"/>
          <w:sz w:val="24"/>
          <w:szCs w:val="24"/>
        </w:rPr>
        <w:br/>
      </w:r>
      <w:r w:rsidRPr="001F29D9">
        <w:rPr>
          <w:rFonts w:ascii="Times New Roman" w:hAnsi="Times New Roman" w:cs="Times New Roman"/>
          <w:sz w:val="24"/>
          <w:szCs w:val="24"/>
        </w:rPr>
        <w:br/>
        <w:t>Hedef 2.4 kapsamında yurt dışı ortaklı proje sayısında 2025 yılı itibarıyla gerçekleşme sağlanamamıştır. Değerlendirmede; öğretim elemanı sayısının yetersizliği, uluslararası proje yazma/yürütme deneyimi eksikliği ve uluslararası akademik ağların sınırlı olması temel sınırlılıklar olarak öne çıkmıştır.</w:t>
      </w:r>
      <w:r w:rsidRPr="001F29D9">
        <w:rPr>
          <w:rFonts w:ascii="Times New Roman" w:hAnsi="Times New Roman" w:cs="Times New Roman"/>
          <w:sz w:val="24"/>
          <w:szCs w:val="24"/>
        </w:rPr>
        <w:br/>
      </w:r>
      <w:r w:rsidRPr="001F29D9">
        <w:rPr>
          <w:rFonts w:ascii="Times New Roman" w:hAnsi="Times New Roman" w:cs="Times New Roman"/>
          <w:sz w:val="24"/>
          <w:szCs w:val="24"/>
        </w:rPr>
        <w:br/>
        <w:t>PG 2.5.1 kapsamında yabancı uyruklu öğrenci sayısı 2025–2026 akademik yılında 3 olarak raporlanmıştır (2024–2025 akademik yılında 8). Bu değişim, yabancı öğrenci çekmeye yönelik stratejilerin güçlendirilmesi ihtiyacına işaret etmektedir.</w:t>
      </w:r>
    </w:p>
    <w:p w14:paraId="3E236676" w14:textId="77777777" w:rsidR="00E37E2A" w:rsidRPr="001F29D9" w:rsidRDefault="00000000" w:rsidP="001F29D9">
      <w:pPr>
        <w:jc w:val="both"/>
        <w:rPr>
          <w:rFonts w:ascii="Times New Roman" w:hAnsi="Times New Roman" w:cs="Times New Roman"/>
          <w:sz w:val="24"/>
          <w:szCs w:val="24"/>
        </w:rPr>
      </w:pPr>
      <w:r w:rsidRPr="001F29D9">
        <w:rPr>
          <w:rFonts w:ascii="Times New Roman" w:hAnsi="Times New Roman" w:cs="Times New Roman"/>
          <w:b/>
          <w:sz w:val="24"/>
          <w:szCs w:val="24"/>
        </w:rPr>
        <w:t>3. Gerçekleştirilmeyen Hedefler İçin Alınan Kararlar</w:t>
      </w:r>
    </w:p>
    <w:p w14:paraId="6F1EA311" w14:textId="77777777" w:rsidR="00E37E2A" w:rsidRPr="001F29D9" w:rsidRDefault="00000000" w:rsidP="001F29D9">
      <w:pPr>
        <w:jc w:val="both"/>
        <w:rPr>
          <w:rFonts w:ascii="Times New Roman" w:hAnsi="Times New Roman" w:cs="Times New Roman"/>
          <w:sz w:val="24"/>
          <w:szCs w:val="24"/>
        </w:rPr>
      </w:pPr>
      <w:r w:rsidRPr="001F29D9">
        <w:rPr>
          <w:rFonts w:ascii="Times New Roman" w:hAnsi="Times New Roman" w:cs="Times New Roman"/>
          <w:sz w:val="24"/>
          <w:szCs w:val="24"/>
        </w:rPr>
        <w:lastRenderedPageBreak/>
        <w:t>2025 yılı değerlendirmesi sonucunda özellikle Hedef 2.4 için aşağıdaki kararların/önlemlerin alınması uygun görülmüştür:</w:t>
      </w:r>
    </w:p>
    <w:p w14:paraId="0562BA17" w14:textId="77777777" w:rsidR="00E37E2A" w:rsidRPr="001F29D9" w:rsidRDefault="00000000" w:rsidP="001F29D9">
      <w:pPr>
        <w:pStyle w:val="ListeMaddemi"/>
        <w:jc w:val="both"/>
        <w:rPr>
          <w:rFonts w:ascii="Times New Roman" w:hAnsi="Times New Roman" w:cs="Times New Roman"/>
          <w:sz w:val="24"/>
          <w:szCs w:val="24"/>
        </w:rPr>
      </w:pPr>
      <w:r w:rsidRPr="001F29D9">
        <w:rPr>
          <w:rFonts w:ascii="Times New Roman" w:hAnsi="Times New Roman" w:cs="Times New Roman"/>
          <w:sz w:val="24"/>
          <w:szCs w:val="24"/>
        </w:rPr>
        <w:t>Öğretim üyesi ve öğretim elemanlarının uluslararası proje yazma ve yürütme konularında teşvik edilmesi,</w:t>
      </w:r>
    </w:p>
    <w:p w14:paraId="3789C206" w14:textId="77777777" w:rsidR="00E37E2A" w:rsidRPr="001F29D9" w:rsidRDefault="00000000" w:rsidP="001F29D9">
      <w:pPr>
        <w:pStyle w:val="ListeMaddemi"/>
        <w:jc w:val="both"/>
        <w:rPr>
          <w:rFonts w:ascii="Times New Roman" w:hAnsi="Times New Roman" w:cs="Times New Roman"/>
          <w:sz w:val="24"/>
          <w:szCs w:val="24"/>
        </w:rPr>
      </w:pPr>
      <w:r w:rsidRPr="001F29D9">
        <w:rPr>
          <w:rFonts w:ascii="Times New Roman" w:hAnsi="Times New Roman" w:cs="Times New Roman"/>
          <w:sz w:val="24"/>
          <w:szCs w:val="24"/>
        </w:rPr>
        <w:t>Uluslararası proje eğitimleri ve bilgilendirme toplantılarının artırılması,</w:t>
      </w:r>
    </w:p>
    <w:p w14:paraId="3AE52677" w14:textId="77777777" w:rsidR="00E37E2A" w:rsidRPr="001F29D9" w:rsidRDefault="00000000" w:rsidP="001F29D9">
      <w:pPr>
        <w:pStyle w:val="ListeMaddemi"/>
        <w:jc w:val="both"/>
        <w:rPr>
          <w:rFonts w:ascii="Times New Roman" w:hAnsi="Times New Roman" w:cs="Times New Roman"/>
          <w:sz w:val="24"/>
          <w:szCs w:val="24"/>
        </w:rPr>
      </w:pPr>
      <w:r w:rsidRPr="001F29D9">
        <w:rPr>
          <w:rFonts w:ascii="Times New Roman" w:hAnsi="Times New Roman" w:cs="Times New Roman"/>
          <w:sz w:val="24"/>
          <w:szCs w:val="24"/>
        </w:rPr>
        <w:t>Yurt dışı üniversitelerle ikili iş birliği protokollerinin geliştirilmesi,</w:t>
      </w:r>
    </w:p>
    <w:p w14:paraId="0401653F" w14:textId="77777777" w:rsidR="00E37E2A" w:rsidRPr="001F29D9" w:rsidRDefault="00000000" w:rsidP="001F29D9">
      <w:pPr>
        <w:pStyle w:val="ListeMaddemi"/>
        <w:jc w:val="both"/>
        <w:rPr>
          <w:rFonts w:ascii="Times New Roman" w:hAnsi="Times New Roman" w:cs="Times New Roman"/>
          <w:sz w:val="24"/>
          <w:szCs w:val="24"/>
        </w:rPr>
      </w:pPr>
      <w:r w:rsidRPr="001F29D9">
        <w:rPr>
          <w:rFonts w:ascii="Times New Roman" w:hAnsi="Times New Roman" w:cs="Times New Roman"/>
          <w:sz w:val="24"/>
          <w:szCs w:val="24"/>
        </w:rPr>
        <w:t>Akademik personelin uluslararası proje başvurularında idari ve teknik destekle güçlendirilmesi.</w:t>
      </w:r>
    </w:p>
    <w:p w14:paraId="4495D656" w14:textId="77777777" w:rsidR="00E37E2A" w:rsidRPr="001F29D9" w:rsidRDefault="00000000" w:rsidP="001F29D9">
      <w:pPr>
        <w:jc w:val="both"/>
        <w:rPr>
          <w:rFonts w:ascii="Times New Roman" w:hAnsi="Times New Roman" w:cs="Times New Roman"/>
          <w:sz w:val="24"/>
          <w:szCs w:val="24"/>
        </w:rPr>
      </w:pPr>
      <w:r w:rsidRPr="001F29D9">
        <w:rPr>
          <w:rFonts w:ascii="Times New Roman" w:hAnsi="Times New Roman" w:cs="Times New Roman"/>
          <w:sz w:val="24"/>
          <w:szCs w:val="24"/>
        </w:rPr>
        <w:t>Hedef 2.2 için ise bilgilendirme toplantılarının sürekliliğinin sağlanması ve hareketlilik fırsatlarının duyurularla görünür kılınması kararlaştırılmıştır.</w:t>
      </w:r>
    </w:p>
    <w:p w14:paraId="434C80C7" w14:textId="77777777" w:rsidR="00E37E2A" w:rsidRPr="001F29D9" w:rsidRDefault="00000000" w:rsidP="001F29D9">
      <w:pPr>
        <w:jc w:val="both"/>
        <w:rPr>
          <w:rFonts w:ascii="Times New Roman" w:hAnsi="Times New Roman" w:cs="Times New Roman"/>
          <w:sz w:val="24"/>
          <w:szCs w:val="24"/>
        </w:rPr>
      </w:pPr>
      <w:r w:rsidRPr="001F29D9">
        <w:rPr>
          <w:rFonts w:ascii="Times New Roman" w:hAnsi="Times New Roman" w:cs="Times New Roman"/>
          <w:b/>
          <w:sz w:val="24"/>
          <w:szCs w:val="24"/>
        </w:rPr>
        <w:t>4. İyileştirme Önerileri</w:t>
      </w:r>
    </w:p>
    <w:p w14:paraId="68F51C78" w14:textId="77777777" w:rsidR="00E37E2A" w:rsidRPr="001F29D9" w:rsidRDefault="00000000" w:rsidP="001F29D9">
      <w:pPr>
        <w:jc w:val="both"/>
        <w:rPr>
          <w:rFonts w:ascii="Times New Roman" w:hAnsi="Times New Roman" w:cs="Times New Roman"/>
          <w:sz w:val="24"/>
          <w:szCs w:val="24"/>
        </w:rPr>
      </w:pPr>
      <w:r w:rsidRPr="001F29D9">
        <w:rPr>
          <w:rFonts w:ascii="Times New Roman" w:hAnsi="Times New Roman" w:cs="Times New Roman"/>
          <w:sz w:val="24"/>
          <w:szCs w:val="24"/>
        </w:rPr>
        <w:t>Uygulanan / başlatılan iyileştirmeler:</w:t>
      </w:r>
    </w:p>
    <w:p w14:paraId="1E52210E" w14:textId="77777777" w:rsidR="00E37E2A" w:rsidRPr="001F29D9" w:rsidRDefault="00000000" w:rsidP="00171F2F">
      <w:pPr>
        <w:pStyle w:val="ListeMaddemi"/>
        <w:numPr>
          <w:ilvl w:val="0"/>
          <w:numId w:val="10"/>
        </w:numPr>
        <w:spacing w:line="240" w:lineRule="auto"/>
        <w:jc w:val="both"/>
        <w:rPr>
          <w:rFonts w:ascii="Times New Roman" w:hAnsi="Times New Roman" w:cs="Times New Roman"/>
          <w:sz w:val="24"/>
          <w:szCs w:val="24"/>
        </w:rPr>
      </w:pPr>
      <w:r w:rsidRPr="001F29D9">
        <w:rPr>
          <w:rFonts w:ascii="Times New Roman" w:hAnsi="Times New Roman" w:cs="Times New Roman"/>
          <w:sz w:val="24"/>
          <w:szCs w:val="24"/>
        </w:rPr>
        <w:t>Erasmus kapsamında 1 yeni ikili anlaşmanın tamamlanması ve toplam iş birliği sayısının 3’e çıkarılması.</w:t>
      </w:r>
    </w:p>
    <w:p w14:paraId="4FCADA6B" w14:textId="77777777" w:rsidR="00E37E2A" w:rsidRPr="001F29D9" w:rsidRDefault="00000000" w:rsidP="00171F2F">
      <w:pPr>
        <w:pStyle w:val="ListeMaddemi"/>
        <w:numPr>
          <w:ilvl w:val="0"/>
          <w:numId w:val="10"/>
        </w:numPr>
        <w:spacing w:line="240" w:lineRule="auto"/>
        <w:jc w:val="both"/>
        <w:rPr>
          <w:rFonts w:ascii="Times New Roman" w:hAnsi="Times New Roman" w:cs="Times New Roman"/>
          <w:sz w:val="24"/>
          <w:szCs w:val="24"/>
        </w:rPr>
      </w:pPr>
      <w:r w:rsidRPr="001F29D9">
        <w:rPr>
          <w:rFonts w:ascii="Times New Roman" w:hAnsi="Times New Roman" w:cs="Times New Roman"/>
          <w:sz w:val="24"/>
          <w:szCs w:val="24"/>
        </w:rPr>
        <w:t>COST Çevrimiçi Bilgi Günü toplantısına akademik personel katılımının sağlanması.</w:t>
      </w:r>
    </w:p>
    <w:p w14:paraId="342A2DE3" w14:textId="77777777" w:rsidR="00E37E2A" w:rsidRPr="001F29D9" w:rsidRDefault="00000000" w:rsidP="00171F2F">
      <w:pPr>
        <w:pStyle w:val="ListeMaddemi"/>
        <w:numPr>
          <w:ilvl w:val="0"/>
          <w:numId w:val="10"/>
        </w:numPr>
        <w:spacing w:line="240" w:lineRule="auto"/>
        <w:jc w:val="both"/>
        <w:rPr>
          <w:rFonts w:ascii="Times New Roman" w:hAnsi="Times New Roman" w:cs="Times New Roman"/>
          <w:sz w:val="24"/>
          <w:szCs w:val="24"/>
        </w:rPr>
      </w:pPr>
      <w:r w:rsidRPr="001F29D9">
        <w:rPr>
          <w:rFonts w:ascii="Times New Roman" w:hAnsi="Times New Roman" w:cs="Times New Roman"/>
          <w:sz w:val="24"/>
          <w:szCs w:val="24"/>
        </w:rPr>
        <w:t>Yeni iş birliği geliştirmek üzere MCAST ile iletişimin başlatılması.</w:t>
      </w:r>
    </w:p>
    <w:p w14:paraId="512F3056" w14:textId="77777777" w:rsidR="00E37E2A" w:rsidRPr="00171F2F" w:rsidRDefault="00000000" w:rsidP="00171F2F">
      <w:pPr>
        <w:pStyle w:val="ListeParagraf"/>
        <w:numPr>
          <w:ilvl w:val="0"/>
          <w:numId w:val="10"/>
        </w:numPr>
        <w:spacing w:line="240" w:lineRule="auto"/>
        <w:jc w:val="both"/>
        <w:rPr>
          <w:rFonts w:ascii="Times New Roman" w:hAnsi="Times New Roman" w:cs="Times New Roman"/>
          <w:sz w:val="24"/>
          <w:szCs w:val="24"/>
        </w:rPr>
      </w:pPr>
      <w:r w:rsidRPr="00171F2F">
        <w:rPr>
          <w:rFonts w:ascii="Times New Roman" w:hAnsi="Times New Roman" w:cs="Times New Roman"/>
          <w:sz w:val="24"/>
          <w:szCs w:val="24"/>
        </w:rPr>
        <w:t>Planlanan / devam eden iyileştirmeler:</w:t>
      </w:r>
    </w:p>
    <w:p w14:paraId="1A5E290A" w14:textId="77777777" w:rsidR="00E37E2A" w:rsidRPr="001F29D9" w:rsidRDefault="00000000" w:rsidP="00171F2F">
      <w:pPr>
        <w:pStyle w:val="ListeMaddemi"/>
        <w:numPr>
          <w:ilvl w:val="0"/>
          <w:numId w:val="10"/>
        </w:numPr>
        <w:spacing w:line="240" w:lineRule="auto"/>
        <w:jc w:val="both"/>
        <w:rPr>
          <w:rFonts w:ascii="Times New Roman" w:hAnsi="Times New Roman" w:cs="Times New Roman"/>
          <w:sz w:val="24"/>
          <w:szCs w:val="24"/>
        </w:rPr>
      </w:pPr>
      <w:r w:rsidRPr="001F29D9">
        <w:rPr>
          <w:rFonts w:ascii="Times New Roman" w:hAnsi="Times New Roman" w:cs="Times New Roman"/>
          <w:sz w:val="24"/>
          <w:szCs w:val="24"/>
        </w:rPr>
        <w:t>Yılda iki kez program sorumluları ile koordinasyon toplantılarının düzenlenmesi.</w:t>
      </w:r>
    </w:p>
    <w:p w14:paraId="29591749" w14:textId="77777777" w:rsidR="00E37E2A" w:rsidRPr="001F29D9" w:rsidRDefault="00000000" w:rsidP="00171F2F">
      <w:pPr>
        <w:pStyle w:val="ListeMaddemi"/>
        <w:numPr>
          <w:ilvl w:val="0"/>
          <w:numId w:val="10"/>
        </w:numPr>
        <w:spacing w:line="240" w:lineRule="auto"/>
        <w:jc w:val="both"/>
        <w:rPr>
          <w:rFonts w:ascii="Times New Roman" w:hAnsi="Times New Roman" w:cs="Times New Roman"/>
          <w:sz w:val="24"/>
          <w:szCs w:val="24"/>
        </w:rPr>
      </w:pPr>
      <w:r w:rsidRPr="001F29D9">
        <w:rPr>
          <w:rFonts w:ascii="Times New Roman" w:hAnsi="Times New Roman" w:cs="Times New Roman"/>
          <w:sz w:val="24"/>
          <w:szCs w:val="24"/>
        </w:rPr>
        <w:t>Staj kabul eden kurumlarla iletişimin artırılması ve yeni kurumlarla düzenli yazışmaların sürdürülmesi.</w:t>
      </w:r>
    </w:p>
    <w:p w14:paraId="59DF1D44" w14:textId="77777777" w:rsidR="00E37E2A" w:rsidRPr="001F29D9" w:rsidRDefault="00000000" w:rsidP="00171F2F">
      <w:pPr>
        <w:pStyle w:val="ListeMaddemi"/>
        <w:numPr>
          <w:ilvl w:val="0"/>
          <w:numId w:val="10"/>
        </w:numPr>
        <w:spacing w:line="240" w:lineRule="auto"/>
        <w:jc w:val="both"/>
        <w:rPr>
          <w:rFonts w:ascii="Times New Roman" w:hAnsi="Times New Roman" w:cs="Times New Roman"/>
          <w:sz w:val="24"/>
          <w:szCs w:val="24"/>
        </w:rPr>
      </w:pPr>
      <w:r w:rsidRPr="001F29D9">
        <w:rPr>
          <w:rFonts w:ascii="Times New Roman" w:hAnsi="Times New Roman" w:cs="Times New Roman"/>
          <w:sz w:val="24"/>
          <w:szCs w:val="24"/>
        </w:rPr>
        <w:t>Uluslararası proje yazma–yürütme eğitimlerinin artırılması ve başvurular için idari/teknik destek mekanizmasının güçlendirilmesi.</w:t>
      </w:r>
    </w:p>
    <w:p w14:paraId="5F729A0F" w14:textId="77777777" w:rsidR="00E37E2A" w:rsidRPr="001F29D9" w:rsidRDefault="00000000" w:rsidP="001F29D9">
      <w:pPr>
        <w:jc w:val="both"/>
        <w:rPr>
          <w:rFonts w:ascii="Times New Roman" w:hAnsi="Times New Roman" w:cs="Times New Roman"/>
          <w:sz w:val="24"/>
          <w:szCs w:val="24"/>
        </w:rPr>
      </w:pPr>
      <w:r w:rsidRPr="001F29D9">
        <w:rPr>
          <w:rFonts w:ascii="Times New Roman" w:hAnsi="Times New Roman" w:cs="Times New Roman"/>
          <w:b/>
          <w:sz w:val="24"/>
          <w:szCs w:val="24"/>
        </w:rPr>
        <w:t>5. Gelecek Hedeflere İlişkin Planlanan Uygulama Önerileri</w:t>
      </w:r>
    </w:p>
    <w:p w14:paraId="4A8D21EB" w14:textId="77777777" w:rsidR="00E37E2A" w:rsidRPr="001F29D9" w:rsidRDefault="00000000" w:rsidP="00171F2F">
      <w:pPr>
        <w:pStyle w:val="ListeMaddemi"/>
        <w:jc w:val="both"/>
        <w:rPr>
          <w:rFonts w:ascii="Times New Roman" w:hAnsi="Times New Roman" w:cs="Times New Roman"/>
          <w:sz w:val="24"/>
          <w:szCs w:val="24"/>
        </w:rPr>
      </w:pPr>
      <w:r w:rsidRPr="001F29D9">
        <w:rPr>
          <w:rFonts w:ascii="Times New Roman" w:hAnsi="Times New Roman" w:cs="Times New Roman"/>
          <w:sz w:val="24"/>
          <w:szCs w:val="24"/>
        </w:rPr>
        <w:t>MCAST ile başlatılan görüşmelerin sonuçlandırılarak yeni bir Erasmus ikili anlaşmasının tamamlanması.</w:t>
      </w:r>
    </w:p>
    <w:p w14:paraId="235B0080" w14:textId="77777777" w:rsidR="00E37E2A" w:rsidRPr="001F29D9" w:rsidRDefault="00000000" w:rsidP="00171F2F">
      <w:pPr>
        <w:pStyle w:val="ListeMaddemi"/>
        <w:jc w:val="both"/>
        <w:rPr>
          <w:rFonts w:ascii="Times New Roman" w:hAnsi="Times New Roman" w:cs="Times New Roman"/>
          <w:sz w:val="24"/>
          <w:szCs w:val="24"/>
        </w:rPr>
      </w:pPr>
      <w:r w:rsidRPr="001F29D9">
        <w:rPr>
          <w:rFonts w:ascii="Times New Roman" w:hAnsi="Times New Roman" w:cs="Times New Roman"/>
          <w:sz w:val="24"/>
          <w:szCs w:val="24"/>
        </w:rPr>
        <w:t>Mevcut ikili anlaşmaların aktif kullanımı için öğrenci ve personel hareketliliği çağrılarının zamanında duyurulması ve bölüm bazında bilgilendirme toplantılarının sürdürülmesi.</w:t>
      </w:r>
    </w:p>
    <w:p w14:paraId="752EF6F4" w14:textId="77777777" w:rsidR="00E37E2A" w:rsidRPr="001F29D9" w:rsidRDefault="00000000" w:rsidP="00171F2F">
      <w:pPr>
        <w:pStyle w:val="ListeMaddemi"/>
        <w:jc w:val="both"/>
        <w:rPr>
          <w:rFonts w:ascii="Times New Roman" w:hAnsi="Times New Roman" w:cs="Times New Roman"/>
          <w:sz w:val="24"/>
          <w:szCs w:val="24"/>
        </w:rPr>
      </w:pPr>
      <w:r w:rsidRPr="001F29D9">
        <w:rPr>
          <w:rFonts w:ascii="Times New Roman" w:hAnsi="Times New Roman" w:cs="Times New Roman"/>
          <w:sz w:val="24"/>
          <w:szCs w:val="24"/>
        </w:rPr>
        <w:t>Uluslararası proje hedefi için (PG 2.4.1) proje yazma eğitimleri, mentorluk ve başvuru destek süreçlerinin takvimlendirilmesi.</w:t>
      </w:r>
    </w:p>
    <w:p w14:paraId="25C4E148" w14:textId="77777777" w:rsidR="00E37E2A" w:rsidRDefault="00000000" w:rsidP="00171F2F">
      <w:pPr>
        <w:pStyle w:val="ListeMaddemi"/>
        <w:jc w:val="both"/>
        <w:rPr>
          <w:rFonts w:ascii="Times New Roman" w:hAnsi="Times New Roman" w:cs="Times New Roman"/>
          <w:sz w:val="24"/>
          <w:szCs w:val="24"/>
        </w:rPr>
      </w:pPr>
      <w:r w:rsidRPr="001F29D9">
        <w:rPr>
          <w:rFonts w:ascii="Times New Roman" w:hAnsi="Times New Roman" w:cs="Times New Roman"/>
          <w:sz w:val="24"/>
          <w:szCs w:val="24"/>
        </w:rPr>
        <w:t>Yabancı uyruklu öğrenci sayısını artırmak için tanıtım/iletişim faaliyetlerinin ve başvuru sürecine yönelik rehberliğin güçlendirilmesi; sonuçların yıllık olarak izlenmesi.</w:t>
      </w:r>
    </w:p>
    <w:p w14:paraId="5C64BBDB" w14:textId="1334EA2B" w:rsidR="00171F2F" w:rsidRDefault="00171F2F" w:rsidP="00171F2F">
      <w:pPr>
        <w:pStyle w:val="ListeMaddemi"/>
        <w:numPr>
          <w:ilvl w:val="0"/>
          <w:numId w:val="0"/>
        </w:numPr>
        <w:ind w:left="360" w:hanging="360"/>
        <w:jc w:val="right"/>
        <w:rPr>
          <w:rFonts w:ascii="Times New Roman" w:hAnsi="Times New Roman" w:cs="Times New Roman"/>
          <w:sz w:val="24"/>
          <w:szCs w:val="24"/>
        </w:rPr>
      </w:pPr>
      <w:r>
        <w:rPr>
          <w:rFonts w:ascii="Times New Roman" w:hAnsi="Times New Roman" w:cs="Times New Roman"/>
          <w:sz w:val="24"/>
          <w:szCs w:val="24"/>
        </w:rPr>
        <w:t>Öğr. Gör. Merve KOYUNCU,</w:t>
      </w:r>
      <w:r w:rsidRPr="00171F2F">
        <w:rPr>
          <w:rFonts w:ascii="Times New Roman" w:hAnsi="Times New Roman" w:cs="Times New Roman"/>
          <w:sz w:val="24"/>
          <w:szCs w:val="24"/>
        </w:rPr>
        <w:t xml:space="preserve"> </w:t>
      </w:r>
      <w:r>
        <w:rPr>
          <w:rFonts w:ascii="Times New Roman" w:hAnsi="Times New Roman" w:cs="Times New Roman"/>
          <w:sz w:val="24"/>
          <w:szCs w:val="24"/>
        </w:rPr>
        <w:t>Öğr. Gör. Mehtap BUĞDAYCI</w:t>
      </w:r>
    </w:p>
    <w:sectPr w:rsidR="00171F2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abstractNum w:abstractNumId="9" w15:restartNumberingAfterBreak="0">
    <w:nsid w:val="0A3667F9"/>
    <w:multiLevelType w:val="hybridMultilevel"/>
    <w:tmpl w:val="28D6DF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144204727">
    <w:abstractNumId w:val="8"/>
  </w:num>
  <w:num w:numId="2" w16cid:durableId="1127428285">
    <w:abstractNumId w:val="6"/>
  </w:num>
  <w:num w:numId="3" w16cid:durableId="805320749">
    <w:abstractNumId w:val="5"/>
  </w:num>
  <w:num w:numId="4" w16cid:durableId="680550766">
    <w:abstractNumId w:val="4"/>
  </w:num>
  <w:num w:numId="5" w16cid:durableId="1961765001">
    <w:abstractNumId w:val="7"/>
  </w:num>
  <w:num w:numId="6" w16cid:durableId="1863087480">
    <w:abstractNumId w:val="3"/>
  </w:num>
  <w:num w:numId="7" w16cid:durableId="1490630585">
    <w:abstractNumId w:val="2"/>
  </w:num>
  <w:num w:numId="8" w16cid:durableId="1518077385">
    <w:abstractNumId w:val="1"/>
  </w:num>
  <w:num w:numId="9" w16cid:durableId="433329058">
    <w:abstractNumId w:val="0"/>
  </w:num>
  <w:num w:numId="10" w16cid:durableId="14478484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71F2F"/>
    <w:rsid w:val="001F29D9"/>
    <w:rsid w:val="0029639D"/>
    <w:rsid w:val="00326F90"/>
    <w:rsid w:val="00567844"/>
    <w:rsid w:val="005E6520"/>
    <w:rsid w:val="00611EBB"/>
    <w:rsid w:val="008E1E38"/>
    <w:rsid w:val="00AA1D8D"/>
    <w:rsid w:val="00B47730"/>
    <w:rsid w:val="00CB0664"/>
    <w:rsid w:val="00CB5AFE"/>
    <w:rsid w:val="00E37E2A"/>
    <w:rsid w:val="00EC0E45"/>
    <w:rsid w:val="00FC693F"/>
    <w:rsid w:val="00FF2A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148FAA"/>
  <w14:defaultImageDpi w14:val="300"/>
  <w15:docId w15:val="{A69DD4AB-7696-4429-ACEF-1FA332D2B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699</Words>
  <Characters>5251</Characters>
  <Application>Microsoft Office Word</Application>
  <DocSecurity>0</DocSecurity>
  <Lines>201</Lines>
  <Paragraphs>70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Öznur GÜLDAĞ</cp:lastModifiedBy>
  <cp:revision>8</cp:revision>
  <dcterms:created xsi:type="dcterms:W3CDTF">2026-02-11T12:32:00Z</dcterms:created>
  <dcterms:modified xsi:type="dcterms:W3CDTF">2026-02-20T11:09:00Z</dcterms:modified>
  <cp:category/>
</cp:coreProperties>
</file>